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B1E33">
      <w:pPr>
        <w:pStyle w:val="8"/>
        <w:jc w:val="center"/>
        <w:outlineLvl w:val="1"/>
        <w:rPr>
          <w:rFonts w:hint="eastAsia" w:ascii="仿宋" w:hAnsi="仿宋" w:eastAsia="仿宋" w:cs="仿宋"/>
          <w:highlight w:val="none"/>
        </w:rPr>
      </w:pPr>
      <w:r>
        <w:rPr>
          <w:rFonts w:hint="eastAsia" w:ascii="仿宋" w:hAnsi="仿宋" w:eastAsia="仿宋" w:cs="仿宋"/>
          <w:b/>
          <w:sz w:val="36"/>
          <w:highlight w:val="none"/>
          <w:lang w:val="en-US" w:eastAsia="zh-CN"/>
        </w:rPr>
        <w:t>*</w:t>
      </w:r>
      <w:r>
        <w:rPr>
          <w:rFonts w:hint="eastAsia" w:ascii="仿宋" w:hAnsi="仿宋" w:eastAsia="仿宋" w:cs="仿宋"/>
          <w:b/>
          <w:sz w:val="36"/>
          <w:highlight w:val="none"/>
        </w:rPr>
        <w:t>第八章 拟签订采购合同文本</w:t>
      </w:r>
    </w:p>
    <w:p w14:paraId="5B7779F6">
      <w:pPr>
        <w:pStyle w:val="8"/>
        <w:rPr>
          <w:rFonts w:hint="eastAsia" w:ascii="仿宋" w:hAnsi="仿宋" w:eastAsia="仿宋" w:cs="仿宋"/>
          <w:highlight w:val="none"/>
        </w:rPr>
      </w:pPr>
      <w:r>
        <w:rPr>
          <w:rFonts w:hint="eastAsia" w:ascii="仿宋" w:hAnsi="仿宋" w:eastAsia="仿宋" w:cs="仿宋"/>
          <w:highlight w:val="none"/>
        </w:rPr>
        <w:t>详见附件：合同模版.docx</w:t>
      </w:r>
    </w:p>
    <w:p w14:paraId="1A2ABB19">
      <w:pPr>
        <w:pStyle w:val="8"/>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78EC0EF4">
      <w:pPr>
        <w:ind w:left="0" w:leftChars="0" w:firstLine="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项目编号：                      </w:t>
      </w:r>
    </w:p>
    <w:p w14:paraId="77BC69DB">
      <w:pPr>
        <w:jc w:val="both"/>
        <w:rPr>
          <w:rFonts w:hint="eastAsia" w:ascii="仿宋" w:hAnsi="仿宋" w:eastAsia="仿宋" w:cs="仿宋"/>
          <w:color w:val="auto"/>
          <w:sz w:val="52"/>
          <w:szCs w:val="52"/>
          <w:highlight w:val="none"/>
        </w:rPr>
      </w:pPr>
    </w:p>
    <w:p w14:paraId="1ECFAA78">
      <w:pPr>
        <w:jc w:val="center"/>
        <w:rPr>
          <w:b/>
          <w:color w:val="000000"/>
          <w:spacing w:val="-20"/>
          <w:sz w:val="52"/>
          <w:szCs w:val="52"/>
          <w:highlight w:val="none"/>
        </w:rPr>
      </w:pPr>
      <w:r>
        <w:rPr>
          <w:rFonts w:hint="eastAsia"/>
          <w:b/>
          <w:color w:val="000000"/>
          <w:spacing w:val="-20"/>
          <w:sz w:val="52"/>
          <w:szCs w:val="52"/>
          <w:highlight w:val="none"/>
        </w:rPr>
        <w:t>西安市红会医院南北院区设备计量年度检测服务</w:t>
      </w:r>
    </w:p>
    <w:p w14:paraId="39335AB4">
      <w:pPr>
        <w:jc w:val="center"/>
        <w:rPr>
          <w:b/>
          <w:color w:val="000000"/>
          <w:spacing w:val="-20"/>
          <w:sz w:val="52"/>
          <w:szCs w:val="52"/>
          <w:highlight w:val="none"/>
        </w:rPr>
      </w:pPr>
    </w:p>
    <w:p w14:paraId="1C2CCC6A">
      <w:pPr>
        <w:jc w:val="center"/>
        <w:rPr>
          <w:b/>
          <w:color w:val="000000"/>
          <w:sz w:val="72"/>
          <w:szCs w:val="72"/>
          <w:highlight w:val="none"/>
        </w:rPr>
      </w:pPr>
      <w:r>
        <w:rPr>
          <w:rFonts w:hint="eastAsia"/>
          <w:b/>
          <w:color w:val="000000"/>
          <w:sz w:val="24"/>
          <w:highlight w:val="none"/>
        </w:rPr>
        <w:t>（本格式条款供采购人和成交单位双方签订合同参考，采购人可根据项目的实际情况增减条款和内容）</w:t>
      </w:r>
    </w:p>
    <w:p w14:paraId="6EB24D0C">
      <w:pPr>
        <w:jc w:val="center"/>
        <w:rPr>
          <w:b/>
          <w:color w:val="000000"/>
          <w:sz w:val="52"/>
          <w:szCs w:val="52"/>
          <w:highlight w:val="none"/>
        </w:rPr>
      </w:pPr>
    </w:p>
    <w:p w14:paraId="3D5E6F50">
      <w:pPr>
        <w:jc w:val="center"/>
        <w:rPr>
          <w:b/>
          <w:color w:val="000000"/>
          <w:sz w:val="52"/>
          <w:szCs w:val="52"/>
          <w:highlight w:val="none"/>
        </w:rPr>
      </w:pPr>
      <w:r>
        <w:rPr>
          <w:rFonts w:hint="eastAsia"/>
          <w:b/>
          <w:color w:val="000000"/>
          <w:sz w:val="52"/>
          <w:szCs w:val="52"/>
          <w:highlight w:val="none"/>
        </w:rPr>
        <w:t>服 务 合 同</w:t>
      </w:r>
    </w:p>
    <w:p w14:paraId="66EBF264">
      <w:pPr>
        <w:spacing w:line="360" w:lineRule="auto"/>
        <w:ind w:firstLine="2400" w:firstLineChars="800"/>
        <w:rPr>
          <w:color w:val="000000"/>
          <w:sz w:val="24"/>
          <w:highlight w:val="none"/>
        </w:rPr>
      </w:pPr>
      <w:r>
        <w:rPr>
          <w:rFonts w:hint="eastAsia"/>
          <w:color w:val="000000"/>
          <w:sz w:val="30"/>
          <w:szCs w:val="30"/>
          <w:highlight w:val="none"/>
        </w:rPr>
        <w:t xml:space="preserve">   项目编号：</w:t>
      </w:r>
    </w:p>
    <w:p w14:paraId="444CD068">
      <w:pPr>
        <w:jc w:val="center"/>
        <w:rPr>
          <w:color w:val="000000"/>
          <w:sz w:val="30"/>
          <w:szCs w:val="30"/>
          <w:highlight w:val="none"/>
        </w:rPr>
      </w:pPr>
    </w:p>
    <w:p w14:paraId="45B41645">
      <w:pPr>
        <w:jc w:val="center"/>
        <w:rPr>
          <w:color w:val="000000"/>
          <w:sz w:val="30"/>
          <w:szCs w:val="30"/>
          <w:highlight w:val="none"/>
        </w:rPr>
      </w:pPr>
    </w:p>
    <w:p w14:paraId="50C49E1F">
      <w:pPr>
        <w:jc w:val="center"/>
        <w:rPr>
          <w:color w:val="000000"/>
          <w:sz w:val="30"/>
          <w:szCs w:val="30"/>
          <w:highlight w:val="none"/>
        </w:rPr>
      </w:pPr>
    </w:p>
    <w:p w14:paraId="7396801C">
      <w:pPr>
        <w:rPr>
          <w:color w:val="000000"/>
          <w:sz w:val="32"/>
          <w:szCs w:val="32"/>
          <w:highlight w:val="none"/>
        </w:rPr>
      </w:pPr>
      <w:r>
        <w:rPr>
          <w:rFonts w:hint="eastAsia"/>
          <w:color w:val="000000"/>
          <w:sz w:val="32"/>
          <w:szCs w:val="32"/>
          <w:highlight w:val="none"/>
        </w:rPr>
        <w:t>甲  方：西安市红会医院</w:t>
      </w:r>
    </w:p>
    <w:p w14:paraId="57A28CAB">
      <w:pPr>
        <w:rPr>
          <w:color w:val="000000"/>
          <w:sz w:val="32"/>
          <w:szCs w:val="32"/>
          <w:highlight w:val="none"/>
        </w:rPr>
      </w:pPr>
    </w:p>
    <w:p w14:paraId="6F2E3F81">
      <w:pPr>
        <w:rPr>
          <w:color w:val="000000"/>
          <w:sz w:val="32"/>
          <w:szCs w:val="32"/>
          <w:highlight w:val="none"/>
        </w:rPr>
      </w:pPr>
      <w:r>
        <w:rPr>
          <w:rFonts w:hint="eastAsia"/>
          <w:color w:val="000000"/>
          <w:sz w:val="32"/>
          <w:szCs w:val="32"/>
          <w:highlight w:val="none"/>
        </w:rPr>
        <w:t>乙  方：</w:t>
      </w:r>
    </w:p>
    <w:p w14:paraId="0EED0E64">
      <w:pPr>
        <w:rPr>
          <w:color w:val="000000"/>
          <w:sz w:val="32"/>
          <w:szCs w:val="32"/>
          <w:highlight w:val="none"/>
        </w:rPr>
      </w:pPr>
      <w:r>
        <w:rPr>
          <w:rFonts w:hint="eastAsia"/>
          <w:color w:val="000000"/>
          <w:sz w:val="32"/>
          <w:szCs w:val="32"/>
          <w:highlight w:val="none"/>
        </w:rPr>
        <w:t xml:space="preserve"> </w:t>
      </w:r>
    </w:p>
    <w:p w14:paraId="0A8B6B3F">
      <w:pPr>
        <w:jc w:val="center"/>
        <w:rPr>
          <w:color w:val="000000"/>
          <w:sz w:val="32"/>
          <w:szCs w:val="32"/>
          <w:highlight w:val="none"/>
        </w:rPr>
      </w:pPr>
      <w:r>
        <w:rPr>
          <w:rFonts w:hint="eastAsia"/>
          <w:color w:val="000000"/>
          <w:sz w:val="32"/>
          <w:szCs w:val="32"/>
          <w:highlight w:val="none"/>
        </w:rPr>
        <w:t>20   年  月</w:t>
      </w:r>
    </w:p>
    <w:p w14:paraId="6784BD18">
      <w:pPr>
        <w:rPr>
          <w:b/>
          <w:color w:val="000000"/>
          <w:sz w:val="36"/>
          <w:szCs w:val="36"/>
          <w:highlight w:val="none"/>
        </w:rPr>
      </w:pPr>
    </w:p>
    <w:p w14:paraId="32DBFCFF">
      <w:pPr>
        <w:adjustRightInd w:val="0"/>
        <w:snapToGrid w:val="0"/>
        <w:spacing w:line="384" w:lineRule="auto"/>
        <w:rPr>
          <w:rFonts w:cs="仿宋_GB2312"/>
          <w:bCs/>
          <w:szCs w:val="21"/>
          <w:highlight w:val="none"/>
        </w:rPr>
      </w:pPr>
      <w:r>
        <w:rPr>
          <w:b/>
          <w:color w:val="000000"/>
          <w:szCs w:val="32"/>
          <w:highlight w:val="none"/>
        </w:rPr>
        <w:br w:type="page"/>
      </w:r>
      <w:r>
        <w:rPr>
          <w:rFonts w:hint="eastAsia" w:cs="仿宋_GB2312"/>
          <w:bCs/>
          <w:szCs w:val="21"/>
          <w:highlight w:val="none"/>
        </w:rPr>
        <w:t>甲方（采购人）：</w:t>
      </w:r>
    </w:p>
    <w:p w14:paraId="6ACDE5EB">
      <w:pPr>
        <w:adjustRightInd w:val="0"/>
        <w:snapToGrid w:val="0"/>
        <w:spacing w:line="384" w:lineRule="auto"/>
        <w:rPr>
          <w:rFonts w:cs="仿宋_GB2312"/>
          <w:bCs/>
          <w:szCs w:val="21"/>
          <w:highlight w:val="none"/>
        </w:rPr>
      </w:pPr>
      <w:r>
        <w:rPr>
          <w:rFonts w:hint="eastAsia" w:cs="仿宋_GB2312"/>
          <w:bCs/>
          <w:szCs w:val="21"/>
          <w:highlight w:val="none"/>
        </w:rPr>
        <w:t>乙方（供应商）：</w:t>
      </w:r>
    </w:p>
    <w:p w14:paraId="4036DCC8">
      <w:pPr>
        <w:adjustRightInd w:val="0"/>
        <w:snapToGrid w:val="0"/>
        <w:spacing w:line="384" w:lineRule="auto"/>
        <w:ind w:firstLine="420" w:firstLineChars="200"/>
        <w:rPr>
          <w:rFonts w:cs="仿宋_GB2312"/>
          <w:bCs/>
          <w:szCs w:val="21"/>
          <w:highlight w:val="none"/>
        </w:rPr>
      </w:pPr>
    </w:p>
    <w:p w14:paraId="206321B0">
      <w:pPr>
        <w:adjustRightInd w:val="0"/>
        <w:snapToGrid w:val="0"/>
        <w:spacing w:line="384" w:lineRule="auto"/>
        <w:ind w:firstLine="420" w:firstLineChars="200"/>
        <w:rPr>
          <w:rFonts w:cs="仿宋_GB2312"/>
          <w:bCs/>
          <w:szCs w:val="21"/>
          <w:highlight w:val="none"/>
        </w:rPr>
      </w:pPr>
      <w:r>
        <w:rPr>
          <w:rFonts w:hint="eastAsia" w:cs="仿宋_GB2312"/>
          <w:bCs/>
          <w:szCs w:val="21"/>
          <w:highlight w:val="none"/>
        </w:rPr>
        <w:t>为了贯彻执行《中华人民共和</w:t>
      </w:r>
      <w:r>
        <w:rPr>
          <w:rFonts w:hint="eastAsia" w:cs="仿宋_GB2312"/>
          <w:bCs/>
          <w:color w:val="auto"/>
          <w:szCs w:val="21"/>
          <w:highlight w:val="none"/>
        </w:rPr>
        <w:t>国计量法》和陕西省计量监督管理条例，满</w:t>
      </w:r>
      <w:r>
        <w:rPr>
          <w:rFonts w:hint="eastAsia" w:cs="仿宋_GB2312"/>
          <w:bCs/>
          <w:szCs w:val="21"/>
          <w:highlight w:val="none"/>
        </w:rPr>
        <w:t>足甲方计量器具量值的传递或合理溯源，确保甲方在用计量器具得到及时检定和校准，满足甲方对产品质量控制、生产过程控制管理、贸易结算以及法制计量的需求，甲乙双方经过平等协商，依据《中华人民共和国民法典》、《中华人民共和国政府采购法》、中标供应商投标(响应)文件正本、中标（成交）通知书等，达成以下条款。</w:t>
      </w:r>
    </w:p>
    <w:p w14:paraId="74D36F93">
      <w:pPr>
        <w:adjustRightInd w:val="0"/>
        <w:snapToGrid w:val="0"/>
        <w:spacing w:line="384" w:lineRule="auto"/>
        <w:ind w:firstLine="422" w:firstLineChars="200"/>
        <w:rPr>
          <w:rFonts w:cs="仿宋_GB2312"/>
          <w:b/>
          <w:bCs/>
          <w:szCs w:val="21"/>
          <w:highlight w:val="none"/>
        </w:rPr>
      </w:pPr>
      <w:r>
        <w:rPr>
          <w:rFonts w:cs="仿宋_GB2312"/>
          <w:b/>
          <w:bCs/>
          <w:szCs w:val="21"/>
          <w:highlight w:val="none"/>
        </w:rPr>
        <w:t>一、服务内容：</w:t>
      </w:r>
    </w:p>
    <w:p w14:paraId="37931AA1">
      <w:pPr>
        <w:adjustRightInd w:val="0"/>
        <w:snapToGrid w:val="0"/>
        <w:spacing w:line="384" w:lineRule="auto"/>
        <w:ind w:firstLine="488" w:firstLineChars="200"/>
        <w:rPr>
          <w:rFonts w:asciiTheme="minorEastAsia" w:hAnsiTheme="minorEastAsia" w:cstheme="minorEastAsia"/>
          <w:bCs/>
          <w:szCs w:val="21"/>
          <w:highlight w:val="none"/>
        </w:rPr>
      </w:pPr>
      <w:r>
        <w:rPr>
          <w:rFonts w:hint="eastAsia" w:asciiTheme="minorEastAsia" w:hAnsiTheme="minorEastAsia" w:cstheme="minorEastAsia"/>
          <w:spacing w:val="17"/>
          <w:szCs w:val="21"/>
          <w:highlight w:val="none"/>
        </w:rPr>
        <w:t>乙方应按时对医院提供的需要计量检定/校准的医疗设备按校准规范进行计</w:t>
      </w:r>
      <w:r>
        <w:rPr>
          <w:rFonts w:hint="eastAsia" w:asciiTheme="minorEastAsia" w:hAnsiTheme="minorEastAsia" w:cstheme="minorEastAsia"/>
          <w:szCs w:val="21"/>
          <w:highlight w:val="none"/>
        </w:rPr>
        <w:t>量检定/校准。要求在合同签订后30天内完成，并出具报告</w:t>
      </w:r>
      <w:r>
        <w:rPr>
          <w:rFonts w:hint="eastAsia" w:asciiTheme="minorEastAsia" w:hAnsiTheme="minorEastAsia" w:cstheme="minorEastAsia"/>
          <w:spacing w:val="-1"/>
          <w:szCs w:val="21"/>
          <w:highlight w:val="none"/>
        </w:rPr>
        <w:t>不得拖延。具体设备如下：</w:t>
      </w:r>
    </w:p>
    <w:tbl>
      <w:tblPr>
        <w:tblStyle w:val="5"/>
        <w:tblW w:w="4330" w:type="pct"/>
        <w:jc w:val="center"/>
        <w:tblLayout w:type="autofit"/>
        <w:tblCellMar>
          <w:top w:w="0" w:type="dxa"/>
          <w:left w:w="108" w:type="dxa"/>
          <w:bottom w:w="0" w:type="dxa"/>
          <w:right w:w="108" w:type="dxa"/>
        </w:tblCellMar>
      </w:tblPr>
      <w:tblGrid>
        <w:gridCol w:w="3708"/>
        <w:gridCol w:w="1233"/>
        <w:gridCol w:w="2439"/>
      </w:tblGrid>
      <w:tr w14:paraId="46BDDE82">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A0FC">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设备名称</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6B33D">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数量</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C729">
            <w:pPr>
              <w:widowControl/>
              <w:spacing w:line="360" w:lineRule="auto"/>
              <w:jc w:val="center"/>
              <w:textAlignment w:val="center"/>
              <w:rPr>
                <w:rFonts w:hint="default"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服务类别</w:t>
            </w:r>
          </w:p>
        </w:tc>
      </w:tr>
      <w:tr w14:paraId="6792115F">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FE8B9">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注射泵/输液泵</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2C4DC">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400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A8DA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401C728D">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ED769">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B超</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496EC">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FFCB2">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65F4A038">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63B34">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高频电刀</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B7F6B">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40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CBBB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274A2715">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8D9D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呼吸机/麻醉机</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383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100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21F89">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2EBFB7C9">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9597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核磁</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421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9</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F04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2EEA5A46">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5A51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紫外照度计</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65A62">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4</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2E488">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5FAEFE16">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D3AF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氧气吸入器</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1572">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5E012">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4CC35090">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6E0F5">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肺功能仪</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AD4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29D08">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4E8AE0B3">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26D3E">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电子天平</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D241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8</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5394">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0543BE5E">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9D7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人体秤</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F276">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50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FA95C">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13C1F498">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6DB9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温度计</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8C296">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52EB7">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37E1043E">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EA7DB">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温湿度表</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CDCE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01ED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1A723682">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9A39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冰箱温度计</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74A49">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B881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5B674A89">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0321B">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移液器</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5CE5B">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FDF7F">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3857BA2D">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88E54">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除颤/监护</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0F9B">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700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BAACF">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4B6586C8">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9AE82">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放射骨密度仪</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CB03B">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6</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F1CAE">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3385CF24">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DE4D8">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婴儿暖箱</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BE7EC">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BB56">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4D8CEAF3">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0B751">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离心机</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817E">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6</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9F57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2F90A9F4">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34D8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FYQ型试剂卡孵育器</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C7B9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E4B8">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69F82A86">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7BE35">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恒温溶浆仪</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238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4A27">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7F244CC5">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FB8A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恒温循环解冻箱</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005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EB2F1">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6A6F11D6">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0B3BF">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全自动血型分析仪</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117F6">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CFDC">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48077EB4">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6B2B">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全自动血栓弹力图分析仪</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B73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0B00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7E98575D">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2155">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显微镜</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1EDCD">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ACEFD">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非强检设备</w:t>
            </w:r>
          </w:p>
        </w:tc>
      </w:tr>
      <w:tr w14:paraId="6EF91819">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DC6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DSA</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E9AFC">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4</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B6E76">
            <w:pPr>
              <w:widowControl/>
              <w:spacing w:line="360" w:lineRule="auto"/>
              <w:jc w:val="center"/>
              <w:textAlignment w:val="center"/>
              <w:rPr>
                <w:rFonts w:hint="default"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强检设备</w:t>
            </w:r>
          </w:p>
        </w:tc>
      </w:tr>
      <w:tr w14:paraId="56E7B748">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B93B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CR/DR</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84734">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30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C43F1">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强检设备</w:t>
            </w:r>
          </w:p>
        </w:tc>
      </w:tr>
      <w:tr w14:paraId="4DCBB63C">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51C02">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CT</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1A0B4">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5</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77939">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强检设备</w:t>
            </w:r>
          </w:p>
        </w:tc>
      </w:tr>
      <w:tr w14:paraId="2CFB138E">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7530D">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脑电图仪</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7DE4">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D3AD">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强检设备</w:t>
            </w:r>
          </w:p>
        </w:tc>
      </w:tr>
      <w:tr w14:paraId="4DBA7A47">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C5856">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心电图机</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1CE61">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33</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EDFC6">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强检设备</w:t>
            </w:r>
          </w:p>
        </w:tc>
      </w:tr>
      <w:tr w14:paraId="762DB24F">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B667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电子/水印血压计</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8141">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200</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63B2B">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强检设备</w:t>
            </w:r>
          </w:p>
        </w:tc>
      </w:tr>
      <w:tr w14:paraId="783AF2ED">
        <w:tblPrEx>
          <w:tblCellMar>
            <w:top w:w="0" w:type="dxa"/>
            <w:left w:w="108" w:type="dxa"/>
            <w:bottom w:w="0" w:type="dxa"/>
            <w:right w:w="108" w:type="dxa"/>
          </w:tblCellMar>
        </w:tblPrEx>
        <w:trPr>
          <w:trHeight w:val="300"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75F5">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非接触式眼压计</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572A">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2</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46A0F">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强检设备</w:t>
            </w:r>
          </w:p>
        </w:tc>
      </w:tr>
      <w:tr w14:paraId="41B8D25F">
        <w:tblPrEx>
          <w:tblCellMar>
            <w:top w:w="0" w:type="dxa"/>
            <w:left w:w="108" w:type="dxa"/>
            <w:bottom w:w="0" w:type="dxa"/>
            <w:right w:w="108" w:type="dxa"/>
          </w:tblCellMar>
        </w:tblPrEx>
        <w:trPr>
          <w:trHeight w:val="285"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90383">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听力计</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EFC3C">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3800">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强检设备</w:t>
            </w:r>
          </w:p>
        </w:tc>
      </w:tr>
      <w:tr w14:paraId="40BDB7B8">
        <w:tblPrEx>
          <w:tblCellMar>
            <w:top w:w="0" w:type="dxa"/>
            <w:left w:w="108" w:type="dxa"/>
            <w:bottom w:w="0" w:type="dxa"/>
            <w:right w:w="108" w:type="dxa"/>
          </w:tblCellMar>
        </w:tblPrEx>
        <w:trPr>
          <w:trHeight w:val="285" w:hRule="atLeast"/>
          <w:jc w:val="center"/>
        </w:trPr>
        <w:tc>
          <w:tcPr>
            <w:tcW w:w="2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33F69">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生物安全柜</w:t>
            </w:r>
          </w:p>
        </w:tc>
        <w:tc>
          <w:tcPr>
            <w:tcW w:w="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72205">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4631E">
            <w:pPr>
              <w:widowControl/>
              <w:spacing w:line="360" w:lineRule="auto"/>
              <w:jc w:val="center"/>
              <w:textAlignment w:val="center"/>
              <w:rPr>
                <w:rFonts w:hint="eastAsia" w:ascii="仿宋" w:hAnsi="仿宋" w:eastAsia="仿宋" w:cs="仿宋"/>
                <w:color w:val="00B0F0"/>
                <w:kern w:val="0"/>
                <w:sz w:val="20"/>
                <w:szCs w:val="20"/>
                <w:highlight w:val="none"/>
                <w:lang w:val="en-US" w:eastAsia="zh-CN"/>
              </w:rPr>
            </w:pPr>
            <w:r>
              <w:rPr>
                <w:rFonts w:hint="eastAsia" w:ascii="仿宋" w:hAnsi="仿宋" w:eastAsia="仿宋" w:cs="仿宋"/>
                <w:color w:val="00B0F0"/>
                <w:kern w:val="0"/>
                <w:sz w:val="20"/>
                <w:szCs w:val="20"/>
                <w:highlight w:val="none"/>
                <w:lang w:val="en-US" w:eastAsia="zh-CN"/>
              </w:rPr>
              <w:t>检测设备</w:t>
            </w:r>
          </w:p>
        </w:tc>
      </w:tr>
    </w:tbl>
    <w:p w14:paraId="25BF5C36">
      <w:pPr>
        <w:adjustRightInd w:val="0"/>
        <w:snapToGrid w:val="0"/>
        <w:spacing w:line="384" w:lineRule="auto"/>
        <w:rPr>
          <w:rFonts w:hint="eastAsia" w:cs="仿宋_GB2312"/>
          <w:b/>
          <w:bCs/>
          <w:szCs w:val="21"/>
          <w:highlight w:val="none"/>
        </w:rPr>
      </w:pPr>
    </w:p>
    <w:p w14:paraId="03EE6672">
      <w:pPr>
        <w:adjustRightInd w:val="0"/>
        <w:snapToGrid w:val="0"/>
        <w:spacing w:line="384" w:lineRule="auto"/>
        <w:ind w:firstLine="422" w:firstLineChars="200"/>
        <w:rPr>
          <w:rFonts w:cs="仿宋_GB2312"/>
          <w:b/>
          <w:bCs/>
          <w:color w:val="auto"/>
          <w:szCs w:val="21"/>
          <w:highlight w:val="none"/>
        </w:rPr>
      </w:pPr>
      <w:r>
        <w:rPr>
          <w:rFonts w:hint="eastAsia" w:cs="仿宋_GB2312"/>
          <w:b/>
          <w:bCs/>
          <w:color w:val="auto"/>
          <w:szCs w:val="21"/>
          <w:highlight w:val="none"/>
        </w:rPr>
        <w:t>二、合同价款</w:t>
      </w:r>
    </w:p>
    <w:p w14:paraId="2C63EF92">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（一）合同总价款大写：人民币</w:t>
      </w:r>
      <w:r>
        <w:rPr>
          <w:rFonts w:hint="eastAsia" w:cs="仿宋_GB2312"/>
          <w:bCs/>
          <w:color w:val="auto"/>
          <w:szCs w:val="21"/>
          <w:highlight w:val="none"/>
          <w:u w:val="single"/>
        </w:rPr>
        <w:t xml:space="preserve"> </w:t>
      </w:r>
      <w:r>
        <w:rPr>
          <w:rFonts w:cs="仿宋_GB2312"/>
          <w:bCs/>
          <w:color w:val="auto"/>
          <w:szCs w:val="21"/>
          <w:highlight w:val="none"/>
          <w:u w:val="single"/>
        </w:rPr>
        <w:t xml:space="preserve">             </w:t>
      </w:r>
      <w:r>
        <w:rPr>
          <w:rFonts w:hint="eastAsia" w:cs="仿宋_GB2312"/>
          <w:bCs/>
          <w:color w:val="auto"/>
          <w:szCs w:val="21"/>
          <w:highlight w:val="none"/>
        </w:rPr>
        <w:t>元整；小写：</w:t>
      </w:r>
      <w:r>
        <w:rPr>
          <w:rFonts w:hint="eastAsia" w:ascii="宋体" w:hAnsi="宋体" w:eastAsia="宋体" w:cs="仿宋_GB2312"/>
          <w:bCs/>
          <w:color w:val="auto"/>
          <w:szCs w:val="21"/>
          <w:highlight w:val="none"/>
          <w:u w:val="single"/>
        </w:rPr>
        <w:t>￥</w:t>
      </w:r>
      <w:r>
        <w:rPr>
          <w:rFonts w:cs="仿宋_GB2312"/>
          <w:bCs/>
          <w:color w:val="auto"/>
          <w:szCs w:val="21"/>
          <w:highlight w:val="none"/>
          <w:u w:val="single"/>
        </w:rPr>
        <w:t xml:space="preserve">             </w:t>
      </w:r>
    </w:p>
    <w:p w14:paraId="5330724C">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（二）合同总价包括：检测服务和其它乙方履行合同义务所需的全部费用（包括但不限于：人工费、餐饮交通费、检测费、调试费、检定报告工本费、税费等。）</w:t>
      </w:r>
    </w:p>
    <w:p w14:paraId="5B4A154D">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（三）合同金额一次性包死，不受市场价格变化等因素的影响。</w:t>
      </w:r>
    </w:p>
    <w:p w14:paraId="5CABDD93">
      <w:pPr>
        <w:adjustRightInd w:val="0"/>
        <w:snapToGrid w:val="0"/>
        <w:spacing w:line="384" w:lineRule="auto"/>
        <w:ind w:firstLine="422" w:firstLineChars="200"/>
        <w:rPr>
          <w:rFonts w:cs="仿宋_GB2312"/>
          <w:b/>
          <w:bCs/>
          <w:color w:val="auto"/>
          <w:szCs w:val="21"/>
          <w:highlight w:val="none"/>
        </w:rPr>
      </w:pPr>
      <w:r>
        <w:rPr>
          <w:rFonts w:hint="eastAsia" w:cs="仿宋_GB2312"/>
          <w:b/>
          <w:bCs/>
          <w:color w:val="auto"/>
          <w:szCs w:val="21"/>
          <w:highlight w:val="none"/>
        </w:rPr>
        <w:t>三、款项结算</w:t>
      </w:r>
    </w:p>
    <w:p w14:paraId="30D6B0D8">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履约保证金收取与退还：乙方应当在合同签订后5个工作日内将项目履约保证金（成交金额的5%）转账至甲方基本户,未按照磋商文件要求按时足额缴纳履约保证金的，甲方将取消乙方成交资格，且无需承担任何责任，甲方可重新组织采购活动。合同期限履行完毕后无息退还履约保证金。</w:t>
      </w:r>
    </w:p>
    <w:p w14:paraId="5DEBC85D">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采购人基本户户名：西安市红会医院</w:t>
      </w:r>
    </w:p>
    <w:p w14:paraId="5553905F">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账号：102407334632</w:t>
      </w:r>
    </w:p>
    <w:p w14:paraId="3DFB7ED3">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开户行：中行西安长安路支行</w:t>
      </w:r>
    </w:p>
    <w:p w14:paraId="06A34CCE">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注：转账请注明用途</w:t>
      </w:r>
    </w:p>
    <w:p w14:paraId="6AEFBDDA">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（二）支付方式：银行转账</w:t>
      </w:r>
    </w:p>
    <w:p w14:paraId="27E85C00">
      <w:pPr>
        <w:adjustRightInd w:val="0"/>
        <w:snapToGrid w:val="0"/>
        <w:spacing w:line="384" w:lineRule="auto"/>
        <w:ind w:firstLine="420" w:firstLineChars="200"/>
        <w:rPr>
          <w:rFonts w:hint="eastAsia" w:cs="仿宋_GB2312"/>
          <w:bCs/>
          <w:color w:val="auto"/>
          <w:szCs w:val="21"/>
          <w:highlight w:val="none"/>
        </w:rPr>
      </w:pPr>
      <w:r>
        <w:rPr>
          <w:rFonts w:hint="eastAsia" w:cs="仿宋_GB2312"/>
          <w:bCs/>
          <w:color w:val="auto"/>
          <w:szCs w:val="21"/>
          <w:highlight w:val="none"/>
        </w:rPr>
        <w:t>（三）结算方式： 本年度设备计量服务结束后，供应商应在30日内提供所检设备的证书/报告</w:t>
      </w:r>
      <w:r>
        <w:rPr>
          <w:rFonts w:hint="eastAsia" w:cs="仿宋_GB2312"/>
          <w:bCs/>
          <w:color w:val="auto"/>
          <w:szCs w:val="21"/>
          <w:highlight w:val="none"/>
          <w:lang w:eastAsia="zh-CN"/>
        </w:rPr>
        <w:t>，</w:t>
      </w:r>
      <w:r>
        <w:rPr>
          <w:rFonts w:hint="eastAsia" w:cs="仿宋_GB2312"/>
          <w:bCs/>
          <w:color w:val="auto"/>
          <w:szCs w:val="21"/>
          <w:highlight w:val="none"/>
          <w:lang w:val="en-US" w:eastAsia="zh-CN"/>
        </w:rPr>
        <w:t>并提供电子台账</w:t>
      </w:r>
      <w:r>
        <w:rPr>
          <w:rFonts w:hint="eastAsia" w:cs="仿宋_GB2312"/>
          <w:bCs/>
          <w:color w:val="auto"/>
          <w:szCs w:val="21"/>
          <w:highlight w:val="none"/>
        </w:rPr>
        <w:t>，经采购人确认后，供应商开具符合采购人要求的全额发票，采购人收到发票后在60日内付全款（除检定、校准费用外，现场检定的其他费用全免）。</w:t>
      </w:r>
    </w:p>
    <w:p w14:paraId="2EF83E04">
      <w:pPr>
        <w:adjustRightInd w:val="0"/>
        <w:snapToGrid w:val="0"/>
        <w:spacing w:line="384" w:lineRule="auto"/>
        <w:ind w:firstLine="422" w:firstLineChars="200"/>
        <w:rPr>
          <w:rFonts w:cs="仿宋_GB2312"/>
          <w:bCs/>
          <w:color w:val="auto"/>
          <w:szCs w:val="21"/>
          <w:highlight w:val="none"/>
        </w:rPr>
      </w:pPr>
      <w:r>
        <w:rPr>
          <w:rFonts w:hint="eastAsia" w:cs="仿宋_GB2312"/>
          <w:b/>
          <w:color w:val="auto"/>
          <w:szCs w:val="21"/>
          <w:highlight w:val="none"/>
        </w:rPr>
        <w:t>四、服务地点、服务期限及服务费用</w:t>
      </w:r>
    </w:p>
    <w:p w14:paraId="7B162DA8">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（一）服务地点：采购人指定地点。</w:t>
      </w:r>
    </w:p>
    <w:p w14:paraId="6E0EB6D7">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（二）服务期限：</w:t>
      </w:r>
      <w:r>
        <w:rPr>
          <w:rFonts w:hint="eastAsia" w:cs="仿宋_GB2312"/>
          <w:bCs/>
          <w:color w:val="auto"/>
          <w:szCs w:val="21"/>
          <w:highlight w:val="none"/>
          <w:u w:val="single"/>
        </w:rPr>
        <w:t xml:space="preserve"> </w:t>
      </w:r>
      <w:r>
        <w:rPr>
          <w:rFonts w:cs="仿宋_GB2312"/>
          <w:bCs/>
          <w:color w:val="auto"/>
          <w:szCs w:val="21"/>
          <w:highlight w:val="none"/>
          <w:u w:val="single"/>
        </w:rPr>
        <w:t xml:space="preserve">                      </w:t>
      </w:r>
    </w:p>
    <w:p w14:paraId="52BDFED2">
      <w:pPr>
        <w:adjustRightInd w:val="0"/>
        <w:snapToGrid w:val="0"/>
        <w:spacing w:line="384" w:lineRule="auto"/>
        <w:ind w:firstLine="422" w:firstLineChars="200"/>
        <w:rPr>
          <w:rFonts w:cs="仿宋_GB2312"/>
          <w:b/>
          <w:color w:val="auto"/>
          <w:szCs w:val="21"/>
          <w:highlight w:val="none"/>
        </w:rPr>
      </w:pPr>
      <w:r>
        <w:rPr>
          <w:rFonts w:hint="eastAsia" w:cs="仿宋_GB2312"/>
          <w:b/>
          <w:color w:val="auto"/>
          <w:szCs w:val="21"/>
          <w:highlight w:val="none"/>
        </w:rPr>
        <w:t>五、验收时间及依据</w:t>
      </w:r>
    </w:p>
    <w:p w14:paraId="149A8906">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（一）竞争性磋商文件、竞争性磋商响应文件；</w:t>
      </w:r>
    </w:p>
    <w:p w14:paraId="238EBA3B">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（二）本合同及附件文本；</w:t>
      </w:r>
    </w:p>
    <w:p w14:paraId="32B1B1FE">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（三）国家计量检定规程和国家计量校准规范。</w:t>
      </w:r>
    </w:p>
    <w:p w14:paraId="0443CF05">
      <w:pPr>
        <w:adjustRightInd w:val="0"/>
        <w:snapToGrid w:val="0"/>
        <w:spacing w:line="384" w:lineRule="auto"/>
        <w:ind w:firstLine="422" w:firstLineChars="200"/>
        <w:rPr>
          <w:rFonts w:cs="仿宋_GB2312"/>
          <w:b/>
          <w:bCs/>
          <w:color w:val="auto"/>
          <w:szCs w:val="21"/>
          <w:highlight w:val="none"/>
        </w:rPr>
      </w:pPr>
      <w:r>
        <w:rPr>
          <w:rFonts w:hint="eastAsia" w:cs="仿宋_GB2312"/>
          <w:b/>
          <w:bCs/>
          <w:color w:val="auto"/>
          <w:szCs w:val="21"/>
          <w:highlight w:val="none"/>
        </w:rPr>
        <w:t>六、双方的权利和义务：</w:t>
      </w:r>
    </w:p>
    <w:p w14:paraId="578A2D8D">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（一）甲方的权利和义务</w:t>
      </w:r>
    </w:p>
    <w:p w14:paraId="6A85E0D8">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1、现场检定</w:t>
      </w:r>
      <w:r>
        <w:rPr>
          <w:rFonts w:cs="仿宋_GB2312"/>
          <w:bCs/>
          <w:color w:val="auto"/>
          <w:szCs w:val="21"/>
          <w:highlight w:val="none"/>
        </w:rPr>
        <w:t>/</w:t>
      </w:r>
      <w:r>
        <w:rPr>
          <w:rFonts w:hint="eastAsia" w:cs="仿宋_GB2312"/>
          <w:bCs/>
          <w:color w:val="auto"/>
          <w:szCs w:val="21"/>
          <w:highlight w:val="none"/>
        </w:rPr>
        <w:t>校准环境条件对乙方检定员有特殊要求或对其健康安全有影响时，甲方必须在乙方检定员开始工作前，就有关事项进行告知。</w:t>
      </w:r>
    </w:p>
    <w:p w14:paraId="779A56D6">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2、甲方应提供检定</w:t>
      </w:r>
      <w:r>
        <w:rPr>
          <w:rFonts w:cs="仿宋_GB2312"/>
          <w:bCs/>
          <w:color w:val="auto"/>
          <w:szCs w:val="21"/>
          <w:highlight w:val="none"/>
        </w:rPr>
        <w:t>/</w:t>
      </w:r>
      <w:r>
        <w:rPr>
          <w:rFonts w:hint="eastAsia" w:cs="仿宋_GB2312"/>
          <w:bCs/>
          <w:color w:val="auto"/>
          <w:szCs w:val="21"/>
          <w:highlight w:val="none"/>
        </w:rPr>
        <w:t>校准所需的技术资料、图纸及辅助材料；若为现场检定，甲方还应提供水、电辅助设施及必备的环境条件。</w:t>
      </w:r>
    </w:p>
    <w:p w14:paraId="2577510D">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（二）乙方的权利和义务</w:t>
      </w:r>
    </w:p>
    <w:p w14:paraId="66CF18B9">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1、乙方负责妥善保管甲方提供的仪器设备以及相关的技术资料、图纸，并承诺对涉及甲方的所有商业或技术予以保密，否则应向甲方承担由此造成的一切损失并按照本合同约定承担违约责任。本合同的终止、解除不影响本条款的效力。</w:t>
      </w:r>
    </w:p>
    <w:p w14:paraId="2A9F705C">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2、现场检定/校准环境条件对乙方检定员有特殊要求或对其健康安全有影响且甲方已就有关事项进行告知后，乙方应负责检定员的安全管理和由此产生的一切责任。</w:t>
      </w:r>
    </w:p>
    <w:p w14:paraId="7822A553">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3、由乙方检定员到现场完成检定/校准工作。</w:t>
      </w:r>
    </w:p>
    <w:p w14:paraId="3CDB2644">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4、乙方优先使用国家计量检定规程和国家计量校准规范，也可使用国际、地区、国家标准中公布的或由知名的技术组织及有关科学书籍和期刊颁布的方法；乙方可使用甲方或设备制造商指定的方法；当乙方使用非标准方法时，应征得甲方</w:t>
      </w:r>
      <w:r>
        <w:rPr>
          <w:rFonts w:hint="eastAsia" w:cs="仿宋_GB2312"/>
          <w:bCs/>
          <w:color w:val="auto"/>
          <w:szCs w:val="21"/>
          <w:highlight w:val="none"/>
          <w:lang w:val="en-US" w:eastAsia="zh-CN"/>
        </w:rPr>
        <w:t>书面</w:t>
      </w:r>
      <w:r>
        <w:rPr>
          <w:rFonts w:hint="eastAsia" w:cs="仿宋_GB2312"/>
          <w:bCs/>
          <w:color w:val="auto"/>
          <w:szCs w:val="21"/>
          <w:highlight w:val="none"/>
        </w:rPr>
        <w:t>同意。</w:t>
      </w:r>
    </w:p>
    <w:p w14:paraId="46B15397">
      <w:pPr>
        <w:adjustRightInd w:val="0"/>
        <w:snapToGrid w:val="0"/>
        <w:spacing w:line="384" w:lineRule="auto"/>
        <w:ind w:firstLine="422" w:firstLineChars="200"/>
        <w:rPr>
          <w:rFonts w:cs="仿宋_GB2312"/>
          <w:b/>
          <w:bCs/>
          <w:color w:val="auto"/>
          <w:szCs w:val="21"/>
          <w:highlight w:val="none"/>
        </w:rPr>
      </w:pPr>
      <w:r>
        <w:rPr>
          <w:rFonts w:hint="eastAsia" w:cs="仿宋_GB2312"/>
          <w:b/>
          <w:bCs/>
          <w:color w:val="auto"/>
          <w:szCs w:val="21"/>
          <w:highlight w:val="none"/>
        </w:rPr>
        <w:t>七、</w:t>
      </w:r>
      <w:r>
        <w:rPr>
          <w:rFonts w:cs="仿宋_GB2312"/>
          <w:b/>
          <w:bCs/>
          <w:color w:val="auto"/>
          <w:szCs w:val="21"/>
          <w:highlight w:val="none"/>
        </w:rPr>
        <w:t>服务时限及质量要求</w:t>
      </w:r>
    </w:p>
    <w:p w14:paraId="694BBDE7">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1、送到甲方实验室校准/检定的仪器设备为10个工作日内，特殊仪器按有关规定办理，对服务时限有特别要求的，双方协商决定。</w:t>
      </w:r>
    </w:p>
    <w:p w14:paraId="30FB673C">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2、检定、校准工作和服务质量应满足国家有关规定和实验室质量体系文件的要求。</w:t>
      </w:r>
    </w:p>
    <w:p w14:paraId="4037FD29">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3、对检定、校准过程中需要维修的计量仪器，甲方通过修理等措施使被检定/校准计量器具恢复功能后再委托乙方重新检测，乙方不重复收费</w:t>
      </w:r>
      <w:r>
        <w:rPr>
          <w:rFonts w:hint="eastAsia" w:cs="仿宋_GB2312"/>
          <w:bCs/>
          <w:color w:val="auto"/>
          <w:szCs w:val="21"/>
          <w:highlight w:val="none"/>
        </w:rPr>
        <w:t>，需送检的设备，由甲方委托给乙方送检至检测地点进行检测，带检测完毕后由乙方取回</w:t>
      </w:r>
      <w:r>
        <w:rPr>
          <w:rFonts w:cs="仿宋_GB2312"/>
          <w:bCs/>
          <w:color w:val="auto"/>
          <w:szCs w:val="21"/>
          <w:highlight w:val="none"/>
        </w:rPr>
        <w:t>。</w:t>
      </w:r>
    </w:p>
    <w:p w14:paraId="467D3508">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4、甲方在接收已完成检定、校准的计量器具时，应认真检查被检定、校准计 量器具的状态，并签字确认。</w:t>
      </w:r>
    </w:p>
    <w:p w14:paraId="4A8DFFD4">
      <w:pPr>
        <w:pStyle w:val="8"/>
        <w:rPr>
          <w:rFonts w:hint="eastAsia" w:ascii="仿宋" w:hAnsi="仿宋" w:eastAsia="仿宋" w:cs="仿宋"/>
          <w:color w:val="auto"/>
          <w:highlight w:val="none"/>
          <w:lang w:eastAsia="zh-CN"/>
        </w:rPr>
      </w:pPr>
      <w:r>
        <w:rPr>
          <w:rFonts w:cs="仿宋_GB2312"/>
          <w:bCs/>
          <w:color w:val="auto"/>
          <w:szCs w:val="21"/>
          <w:highlight w:val="none"/>
        </w:rPr>
        <w:t>5、</w:t>
      </w:r>
      <w:r>
        <w:rPr>
          <w:rFonts w:hint="eastAsia" w:cs="仿宋_GB2312" w:asciiTheme="minorHAnsi" w:hAnsiTheme="minorHAnsi" w:eastAsiaTheme="minorEastAsia"/>
          <w:bCs/>
          <w:color w:val="auto"/>
          <w:kern w:val="2"/>
          <w:sz w:val="21"/>
          <w:szCs w:val="21"/>
          <w:highlight w:val="none"/>
          <w:lang w:val="en-US" w:eastAsia="zh-CN" w:bidi="ar-SA"/>
        </w:rPr>
        <w:t>供应商拟派团队人员中具备一级注册计量师资格的人数至少8人。</w:t>
      </w:r>
    </w:p>
    <w:p w14:paraId="28779EAC">
      <w:pPr>
        <w:adjustRightInd w:val="0"/>
        <w:snapToGrid w:val="0"/>
        <w:spacing w:line="384" w:lineRule="auto"/>
        <w:ind w:firstLine="420" w:firstLineChars="200"/>
        <w:rPr>
          <w:rFonts w:cs="仿宋_GB2312"/>
          <w:bCs/>
          <w:color w:val="auto"/>
          <w:szCs w:val="21"/>
          <w:highlight w:val="none"/>
        </w:rPr>
      </w:pPr>
    </w:p>
    <w:p w14:paraId="72240821">
      <w:pPr>
        <w:adjustRightInd w:val="0"/>
        <w:snapToGrid w:val="0"/>
        <w:spacing w:line="384" w:lineRule="auto"/>
        <w:ind w:firstLine="422" w:firstLineChars="200"/>
        <w:rPr>
          <w:rFonts w:cs="仿宋_GB2312"/>
          <w:bCs/>
          <w:color w:val="auto"/>
          <w:szCs w:val="21"/>
          <w:highlight w:val="none"/>
        </w:rPr>
      </w:pPr>
      <w:r>
        <w:rPr>
          <w:rFonts w:hint="eastAsia" w:cs="仿宋_GB2312"/>
          <w:b/>
          <w:bCs/>
          <w:color w:val="auto"/>
          <w:szCs w:val="21"/>
          <w:highlight w:val="none"/>
        </w:rPr>
        <w:t>八</w:t>
      </w:r>
      <w:r>
        <w:rPr>
          <w:rFonts w:hint="eastAsia" w:cs="仿宋_GB2312"/>
          <w:b/>
          <w:color w:val="auto"/>
          <w:szCs w:val="21"/>
          <w:highlight w:val="none"/>
        </w:rPr>
        <w:t>、违约责任</w:t>
      </w:r>
    </w:p>
    <w:p w14:paraId="6DE507BA">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（一）按《中华人民共和国民法典》中的相关条款执行。</w:t>
      </w:r>
    </w:p>
    <w:p w14:paraId="0D225728">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（二）未按合同要求提供服务或服务质量不能满足本次采购要求，甲方会同监督机构有权终止合同和对乙方违约行为进行追究，同时按中华人民共和国政府采购法的有关规定进行相应的处罚。</w:t>
      </w:r>
    </w:p>
    <w:p w14:paraId="7D245FAC">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（三）</w:t>
      </w:r>
      <w:r>
        <w:rPr>
          <w:rFonts w:cs="仿宋_GB2312"/>
          <w:bCs/>
          <w:color w:val="auto"/>
          <w:szCs w:val="21"/>
          <w:highlight w:val="none"/>
        </w:rPr>
        <w:t>乙方应当按照合同约定的检定、校准方开展工作，按时出具结果</w:t>
      </w:r>
      <w:r>
        <w:rPr>
          <w:rFonts w:hint="eastAsia" w:cs="仿宋_GB2312"/>
          <w:bCs/>
          <w:color w:val="auto"/>
          <w:szCs w:val="21"/>
          <w:highlight w:val="none"/>
          <w:lang w:val="en-US" w:eastAsia="zh-CN"/>
        </w:rPr>
        <w:t>证书/报告</w:t>
      </w:r>
      <w:r>
        <w:rPr>
          <w:rFonts w:cs="仿宋_GB2312"/>
          <w:bCs/>
          <w:color w:val="auto"/>
          <w:szCs w:val="21"/>
          <w:highlight w:val="none"/>
        </w:rPr>
        <w:t>，不得延期，逾期超过10日，甲方有权解除合同，</w:t>
      </w:r>
      <w:r>
        <w:rPr>
          <w:rFonts w:hint="eastAsia" w:cs="仿宋_GB2312"/>
          <w:bCs/>
          <w:color w:val="auto"/>
          <w:szCs w:val="21"/>
          <w:highlight w:val="none"/>
          <w:lang w:val="en-US" w:eastAsia="zh-CN"/>
        </w:rPr>
        <w:t>未按要求时限缴纳履约保证金，</w:t>
      </w:r>
      <w:r>
        <w:rPr>
          <w:rFonts w:cs="仿宋_GB2312"/>
          <w:bCs/>
          <w:color w:val="auto"/>
          <w:szCs w:val="21"/>
          <w:highlight w:val="none"/>
        </w:rPr>
        <w:t>甲方有权解除合同</w:t>
      </w:r>
      <w:r>
        <w:rPr>
          <w:rFonts w:hint="eastAsia" w:cs="仿宋_GB2312"/>
          <w:bCs/>
          <w:color w:val="auto"/>
          <w:szCs w:val="21"/>
          <w:highlight w:val="none"/>
          <w:lang w:eastAsia="zh-CN"/>
        </w:rPr>
        <w:t>；</w:t>
      </w:r>
      <w:r>
        <w:rPr>
          <w:rFonts w:cs="仿宋_GB2312"/>
          <w:bCs/>
          <w:color w:val="auto"/>
          <w:szCs w:val="21"/>
          <w:highlight w:val="none"/>
        </w:rPr>
        <w:t>合同自甲方书面解除通知到达乙方时解除并要求乙方承担本合同总价款30%的违约金，甲方已经支付的款项，乙方应当全额退回。</w:t>
      </w:r>
    </w:p>
    <w:p w14:paraId="58D6FFED">
      <w:pPr>
        <w:adjustRightInd w:val="0"/>
        <w:snapToGrid w:val="0"/>
        <w:spacing w:line="384" w:lineRule="auto"/>
        <w:ind w:firstLine="422" w:firstLineChars="200"/>
        <w:rPr>
          <w:rFonts w:cs="仿宋_GB2312"/>
          <w:b/>
          <w:color w:val="auto"/>
          <w:szCs w:val="21"/>
          <w:highlight w:val="none"/>
        </w:rPr>
      </w:pPr>
      <w:r>
        <w:rPr>
          <w:rFonts w:hint="eastAsia" w:cs="仿宋_GB2312"/>
          <w:b/>
          <w:color w:val="auto"/>
          <w:szCs w:val="21"/>
          <w:highlight w:val="none"/>
        </w:rPr>
        <w:t>九、其他事项</w:t>
      </w:r>
    </w:p>
    <w:p w14:paraId="67171C60">
      <w:pPr>
        <w:adjustRightInd w:val="0"/>
        <w:snapToGrid w:val="0"/>
        <w:spacing w:line="384" w:lineRule="auto"/>
        <w:ind w:firstLine="420" w:firstLineChars="200"/>
        <w:rPr>
          <w:rFonts w:cs="仿宋_GB2312"/>
          <w:color w:val="auto"/>
          <w:szCs w:val="21"/>
          <w:highlight w:val="none"/>
        </w:rPr>
      </w:pPr>
      <w:r>
        <w:rPr>
          <w:rFonts w:hint="eastAsia" w:cs="仿宋_GB2312"/>
          <w:color w:val="auto"/>
          <w:szCs w:val="21"/>
          <w:highlight w:val="none"/>
        </w:rPr>
        <w:t>（一）乙方的竞争性磋商响应文件和承诺等内容将列入合同。</w:t>
      </w:r>
    </w:p>
    <w:p w14:paraId="583BD279">
      <w:pPr>
        <w:adjustRightInd w:val="0"/>
        <w:snapToGrid w:val="0"/>
        <w:spacing w:line="384" w:lineRule="auto"/>
        <w:ind w:firstLine="422" w:firstLineChars="200"/>
        <w:rPr>
          <w:rFonts w:cs="仿宋_GB2312"/>
          <w:b/>
          <w:color w:val="auto"/>
          <w:szCs w:val="21"/>
          <w:highlight w:val="none"/>
        </w:rPr>
      </w:pPr>
      <w:r>
        <w:rPr>
          <w:rFonts w:hint="eastAsia" w:cs="仿宋_GB2312"/>
          <w:b/>
          <w:color w:val="auto"/>
          <w:szCs w:val="21"/>
          <w:highlight w:val="none"/>
        </w:rPr>
        <w:t>十、合同争议解决的方式</w:t>
      </w:r>
    </w:p>
    <w:p w14:paraId="656FA1E4">
      <w:pPr>
        <w:adjustRightInd w:val="0"/>
        <w:snapToGrid w:val="0"/>
        <w:spacing w:line="384" w:lineRule="auto"/>
        <w:ind w:firstLine="420" w:firstLineChars="200"/>
        <w:rPr>
          <w:color w:val="auto"/>
          <w:szCs w:val="21"/>
          <w:highlight w:val="none"/>
        </w:rPr>
      </w:pPr>
      <w:r>
        <w:rPr>
          <w:rFonts w:hint="eastAsia" w:cs="仿宋_GB2312"/>
          <w:bCs/>
          <w:color w:val="auto"/>
          <w:szCs w:val="21"/>
          <w:highlight w:val="none"/>
        </w:rPr>
        <w:t>本合同在履行过程中发生的争议，由甲、乙双方当事人协商解决。协商不成的依法向甲方所在地人民法院提起诉讼。</w:t>
      </w:r>
    </w:p>
    <w:p w14:paraId="54F09A6B">
      <w:pPr>
        <w:adjustRightInd w:val="0"/>
        <w:snapToGrid w:val="0"/>
        <w:spacing w:line="384" w:lineRule="auto"/>
        <w:ind w:firstLine="422" w:firstLineChars="200"/>
        <w:rPr>
          <w:rFonts w:cs="仿宋_GB2312"/>
          <w:bCs/>
          <w:color w:val="auto"/>
          <w:szCs w:val="21"/>
          <w:highlight w:val="none"/>
        </w:rPr>
      </w:pPr>
      <w:r>
        <w:rPr>
          <w:rFonts w:hint="eastAsia" w:cs="仿宋_GB2312"/>
          <w:b/>
          <w:color w:val="auto"/>
          <w:szCs w:val="21"/>
          <w:highlight w:val="none"/>
        </w:rPr>
        <w:t>十一、合同生效</w:t>
      </w:r>
    </w:p>
    <w:p w14:paraId="43895354">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1</w:t>
      </w:r>
      <w:r>
        <w:rPr>
          <w:rFonts w:hint="eastAsia" w:cs="仿宋_GB2312"/>
          <w:bCs/>
          <w:color w:val="auto"/>
          <w:szCs w:val="21"/>
          <w:highlight w:val="none"/>
        </w:rPr>
        <w:t>、本合同经双方签字盖章后生效。</w:t>
      </w:r>
    </w:p>
    <w:p w14:paraId="21671B9A">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2</w:t>
      </w:r>
      <w:r>
        <w:rPr>
          <w:rFonts w:hint="eastAsia" w:cs="仿宋_GB2312"/>
          <w:bCs/>
          <w:color w:val="auto"/>
          <w:szCs w:val="21"/>
          <w:highlight w:val="none"/>
        </w:rPr>
        <w:t>、本合同须经甲、乙双方的法定代表人（或负责人）（授权代理人）在合同书上签字并加盖本单位公章后</w:t>
      </w:r>
      <w:r>
        <w:rPr>
          <w:rFonts w:hint="eastAsia" w:cs="仿宋_GB2312"/>
          <w:bCs/>
          <w:color w:val="auto"/>
          <w:szCs w:val="21"/>
          <w:highlight w:val="none"/>
          <w:lang w:val="en-US" w:eastAsia="zh-CN"/>
        </w:rPr>
        <w:t>正式</w:t>
      </w:r>
      <w:r>
        <w:rPr>
          <w:rFonts w:hint="eastAsia" w:cs="仿宋_GB2312"/>
          <w:bCs/>
          <w:color w:val="auto"/>
          <w:szCs w:val="21"/>
          <w:highlight w:val="none"/>
        </w:rPr>
        <w:t>生效。</w:t>
      </w:r>
    </w:p>
    <w:p w14:paraId="25485050">
      <w:pPr>
        <w:adjustRightInd w:val="0"/>
        <w:snapToGrid w:val="0"/>
        <w:spacing w:line="384" w:lineRule="auto"/>
        <w:ind w:firstLine="420" w:firstLineChars="200"/>
        <w:rPr>
          <w:rFonts w:cs="仿宋_GB2312"/>
          <w:bCs/>
          <w:szCs w:val="21"/>
          <w:highlight w:val="none"/>
        </w:rPr>
      </w:pPr>
      <w:r>
        <w:rPr>
          <w:rFonts w:cs="仿宋_GB2312"/>
          <w:bCs/>
          <w:color w:val="auto"/>
          <w:szCs w:val="21"/>
          <w:highlight w:val="none"/>
        </w:rPr>
        <w:t>3</w:t>
      </w:r>
      <w:r>
        <w:rPr>
          <w:rFonts w:hint="eastAsia" w:cs="仿宋_GB2312"/>
          <w:bCs/>
          <w:color w:val="auto"/>
          <w:szCs w:val="21"/>
          <w:highlight w:val="none"/>
        </w:rPr>
        <w:t>、合同生效后，甲、乙双方须严格执行本合同条款的规定，全面</w:t>
      </w:r>
      <w:r>
        <w:rPr>
          <w:rFonts w:hint="eastAsia" w:cs="仿宋_GB2312"/>
          <w:bCs/>
          <w:szCs w:val="21"/>
          <w:highlight w:val="none"/>
        </w:rPr>
        <w:t>履行合同，违者按《中华人民共和国民法典》的有关规定承担相应责任。</w:t>
      </w:r>
    </w:p>
    <w:p w14:paraId="4B95A359">
      <w:pPr>
        <w:adjustRightInd w:val="0"/>
        <w:snapToGrid w:val="0"/>
        <w:spacing w:line="384" w:lineRule="auto"/>
        <w:ind w:firstLine="420" w:firstLineChars="200"/>
        <w:rPr>
          <w:rFonts w:cs="仿宋_GB2312"/>
          <w:bCs/>
          <w:szCs w:val="21"/>
          <w:highlight w:val="none"/>
        </w:rPr>
      </w:pPr>
      <w:r>
        <w:rPr>
          <w:rFonts w:cs="仿宋_GB2312"/>
          <w:bCs/>
          <w:szCs w:val="21"/>
          <w:highlight w:val="none"/>
        </w:rPr>
        <w:t>4</w:t>
      </w:r>
      <w:r>
        <w:rPr>
          <w:rFonts w:hint="eastAsia" w:cs="仿宋_GB2312"/>
          <w:bCs/>
          <w:szCs w:val="21"/>
          <w:highlight w:val="none"/>
        </w:rPr>
        <w:t>、本合同一式</w:t>
      </w:r>
      <w:r>
        <w:rPr>
          <w:rFonts w:hint="eastAsia" w:cs="仿宋_GB2312"/>
          <w:bCs/>
          <w:szCs w:val="21"/>
          <w:highlight w:val="none"/>
          <w:u w:val="single"/>
        </w:rPr>
        <w:t xml:space="preserve">   </w:t>
      </w:r>
      <w:r>
        <w:rPr>
          <w:rFonts w:hint="eastAsia" w:cs="仿宋_GB2312"/>
          <w:bCs/>
          <w:szCs w:val="21"/>
          <w:highlight w:val="none"/>
        </w:rPr>
        <w:t>份，甲乙双方各执</w:t>
      </w:r>
      <w:r>
        <w:rPr>
          <w:rFonts w:hint="eastAsia" w:cs="仿宋_GB2312"/>
          <w:bCs/>
          <w:szCs w:val="21"/>
          <w:highlight w:val="none"/>
          <w:u w:val="single"/>
        </w:rPr>
        <w:t xml:space="preserve">   </w:t>
      </w:r>
      <w:r>
        <w:rPr>
          <w:rFonts w:hint="eastAsia" w:cs="仿宋_GB2312"/>
          <w:bCs/>
          <w:szCs w:val="21"/>
          <w:highlight w:val="none"/>
        </w:rPr>
        <w:t>份。</w:t>
      </w:r>
    </w:p>
    <w:p w14:paraId="751EDB45">
      <w:pPr>
        <w:adjustRightInd w:val="0"/>
        <w:snapToGrid w:val="0"/>
        <w:spacing w:line="384" w:lineRule="auto"/>
        <w:ind w:firstLine="420" w:firstLineChars="200"/>
        <w:rPr>
          <w:rFonts w:cs="仿宋_GB2312"/>
          <w:bCs/>
          <w:szCs w:val="21"/>
          <w:highlight w:val="none"/>
        </w:rPr>
      </w:pPr>
      <w:r>
        <w:rPr>
          <w:rFonts w:cs="仿宋_GB2312"/>
          <w:bCs/>
          <w:szCs w:val="21"/>
          <w:highlight w:val="none"/>
        </w:rPr>
        <w:t>5</w:t>
      </w:r>
      <w:r>
        <w:rPr>
          <w:rFonts w:hint="eastAsia" w:cs="仿宋_GB2312"/>
          <w:bCs/>
          <w:szCs w:val="21"/>
          <w:highlight w:val="none"/>
        </w:rPr>
        <w:t>、本合同如有未尽事宜，甲、乙双方协商解决。</w:t>
      </w:r>
    </w:p>
    <w:p w14:paraId="0EECC6B5">
      <w:pPr>
        <w:ind w:firstLine="420" w:firstLineChars="200"/>
        <w:rPr>
          <w:rFonts w:asciiTheme="minorEastAsia" w:hAnsiTheme="minorEastAsia" w:cstheme="minorEastAsia"/>
          <w:szCs w:val="21"/>
          <w:highlight w:val="none"/>
        </w:rPr>
      </w:pPr>
      <w:r>
        <w:rPr>
          <w:rFonts w:hint="eastAsia" w:cs="仿宋_GB2312"/>
          <w:bCs/>
          <w:szCs w:val="21"/>
          <w:highlight w:val="none"/>
        </w:rPr>
        <w:t>6、</w:t>
      </w:r>
      <w:r>
        <w:rPr>
          <w:rFonts w:hint="eastAsia" w:asciiTheme="minorEastAsia" w:hAnsiTheme="minorEastAsia" w:cstheme="minorEastAsia"/>
          <w:spacing w:val="1"/>
          <w:szCs w:val="21"/>
          <w:highlight w:val="none"/>
        </w:rPr>
        <w:t>合同在执行过程中如有未尽事宜，经双方协商，可签订补充合同，补充合同具</w:t>
      </w:r>
      <w:r>
        <w:rPr>
          <w:rFonts w:hint="eastAsia" w:asciiTheme="minorEastAsia" w:hAnsiTheme="minorEastAsia" w:cstheme="minorEastAsia"/>
          <w:spacing w:val="13"/>
          <w:szCs w:val="21"/>
          <w:highlight w:val="none"/>
        </w:rPr>
        <w:t xml:space="preserve"> </w:t>
      </w:r>
      <w:r>
        <w:rPr>
          <w:rFonts w:hint="eastAsia" w:asciiTheme="minorEastAsia" w:hAnsiTheme="minorEastAsia" w:cstheme="minorEastAsia"/>
          <w:spacing w:val="9"/>
          <w:szCs w:val="21"/>
          <w:highlight w:val="none"/>
        </w:rPr>
        <w:t>有同等法律效力。</w:t>
      </w:r>
    </w:p>
    <w:p w14:paraId="0AEDA1BA">
      <w:pPr>
        <w:pStyle w:val="2"/>
        <w:ind w:firstLine="420" w:firstLineChars="200"/>
        <w:rPr>
          <w:rFonts w:hint="eastAsia" w:eastAsiaTheme="minorEastAsia"/>
          <w:highlight w:val="none"/>
          <w:lang w:eastAsia="zh-CN"/>
        </w:rPr>
      </w:pPr>
      <w:r>
        <w:rPr>
          <w:rFonts w:hint="eastAsia"/>
          <w:highlight w:val="none"/>
          <w:lang w:eastAsia="zh-CN"/>
        </w:rPr>
        <w:t>（</w:t>
      </w:r>
      <w:r>
        <w:rPr>
          <w:rFonts w:hint="eastAsia"/>
          <w:highlight w:val="none"/>
          <w:lang w:val="en-US" w:eastAsia="zh-CN"/>
        </w:rPr>
        <w:t>以下无正文</w:t>
      </w:r>
      <w:r>
        <w:rPr>
          <w:rFonts w:hint="eastAsia"/>
          <w:highlight w:val="none"/>
          <w:lang w:eastAsia="zh-CN"/>
        </w:rPr>
        <w:t>）</w:t>
      </w:r>
    </w:p>
    <w:p w14:paraId="167172F6">
      <w:pPr>
        <w:adjustRightInd w:val="0"/>
        <w:spacing w:line="360" w:lineRule="auto"/>
        <w:rPr>
          <w:rFonts w:cs="仿宋_GB2312"/>
          <w:bCs/>
          <w:szCs w:val="21"/>
          <w:highlight w:val="none"/>
        </w:rPr>
      </w:pPr>
    </w:p>
    <w:tbl>
      <w:tblPr>
        <w:tblStyle w:val="5"/>
        <w:tblW w:w="8403" w:type="dxa"/>
        <w:jc w:val="center"/>
        <w:tblLayout w:type="fixed"/>
        <w:tblCellMar>
          <w:top w:w="0" w:type="dxa"/>
          <w:left w:w="108" w:type="dxa"/>
          <w:bottom w:w="0" w:type="dxa"/>
          <w:right w:w="108" w:type="dxa"/>
        </w:tblCellMar>
      </w:tblPr>
      <w:tblGrid>
        <w:gridCol w:w="4201"/>
        <w:gridCol w:w="4202"/>
      </w:tblGrid>
      <w:tr w14:paraId="7042CFCA">
        <w:tblPrEx>
          <w:tblCellMar>
            <w:top w:w="0" w:type="dxa"/>
            <w:left w:w="108" w:type="dxa"/>
            <w:bottom w:w="0" w:type="dxa"/>
            <w:right w:w="108" w:type="dxa"/>
          </w:tblCellMar>
        </w:tblPrEx>
        <w:trPr>
          <w:trHeight w:val="567" w:hRule="exact"/>
          <w:jc w:val="center"/>
        </w:trPr>
        <w:tc>
          <w:tcPr>
            <w:tcW w:w="4201" w:type="dxa"/>
            <w:vAlign w:val="center"/>
          </w:tcPr>
          <w:p w14:paraId="417F3BA1">
            <w:pPr>
              <w:adjustRightInd w:val="0"/>
              <w:snapToGrid w:val="0"/>
              <w:spacing w:line="372" w:lineRule="auto"/>
              <w:rPr>
                <w:rFonts w:cs="仿宋_GB2312"/>
                <w:bCs/>
                <w:szCs w:val="21"/>
                <w:highlight w:val="none"/>
              </w:rPr>
            </w:pPr>
            <w:r>
              <w:rPr>
                <w:rFonts w:hint="eastAsia" w:cs="仿宋_GB2312"/>
                <w:bCs/>
                <w:szCs w:val="21"/>
                <w:highlight w:val="none"/>
              </w:rPr>
              <w:t>甲  方</w:t>
            </w:r>
          </w:p>
        </w:tc>
        <w:tc>
          <w:tcPr>
            <w:tcW w:w="4202" w:type="dxa"/>
            <w:vAlign w:val="center"/>
          </w:tcPr>
          <w:p w14:paraId="6F5A4248">
            <w:pPr>
              <w:adjustRightInd w:val="0"/>
              <w:snapToGrid w:val="0"/>
              <w:spacing w:line="372" w:lineRule="auto"/>
              <w:rPr>
                <w:rFonts w:cs="仿宋_GB2312"/>
                <w:bCs/>
                <w:szCs w:val="21"/>
                <w:highlight w:val="none"/>
              </w:rPr>
            </w:pPr>
            <w:r>
              <w:rPr>
                <w:rFonts w:hint="eastAsia" w:cs="仿宋_GB2312"/>
                <w:bCs/>
                <w:szCs w:val="21"/>
                <w:highlight w:val="none"/>
              </w:rPr>
              <w:t>乙  方</w:t>
            </w:r>
          </w:p>
        </w:tc>
      </w:tr>
      <w:tr w14:paraId="422AE373">
        <w:tblPrEx>
          <w:tblCellMar>
            <w:top w:w="0" w:type="dxa"/>
            <w:left w:w="108" w:type="dxa"/>
            <w:bottom w:w="0" w:type="dxa"/>
            <w:right w:w="108" w:type="dxa"/>
          </w:tblCellMar>
        </w:tblPrEx>
        <w:trPr>
          <w:trHeight w:val="567" w:hRule="exact"/>
          <w:jc w:val="center"/>
        </w:trPr>
        <w:tc>
          <w:tcPr>
            <w:tcW w:w="4201" w:type="dxa"/>
            <w:vAlign w:val="center"/>
          </w:tcPr>
          <w:p w14:paraId="41389616">
            <w:pPr>
              <w:adjustRightInd w:val="0"/>
              <w:snapToGrid w:val="0"/>
              <w:spacing w:line="372" w:lineRule="auto"/>
              <w:rPr>
                <w:rFonts w:cs="仿宋_GB2312"/>
                <w:bCs/>
                <w:szCs w:val="21"/>
                <w:highlight w:val="none"/>
              </w:rPr>
            </w:pPr>
            <w:r>
              <w:rPr>
                <w:rFonts w:hint="eastAsia" w:cs="仿宋_GB2312"/>
                <w:bCs/>
                <w:szCs w:val="21"/>
                <w:highlight w:val="none"/>
              </w:rPr>
              <w:t>（盖章）</w:t>
            </w:r>
          </w:p>
        </w:tc>
        <w:tc>
          <w:tcPr>
            <w:tcW w:w="4202" w:type="dxa"/>
            <w:vAlign w:val="center"/>
          </w:tcPr>
          <w:p w14:paraId="44C5B816">
            <w:pPr>
              <w:adjustRightInd w:val="0"/>
              <w:snapToGrid w:val="0"/>
              <w:spacing w:line="372" w:lineRule="auto"/>
              <w:rPr>
                <w:rFonts w:cs="仿宋_GB2312"/>
                <w:bCs/>
                <w:szCs w:val="21"/>
                <w:highlight w:val="none"/>
              </w:rPr>
            </w:pPr>
            <w:r>
              <w:rPr>
                <w:rFonts w:hint="eastAsia" w:cs="仿宋_GB2312"/>
                <w:bCs/>
                <w:szCs w:val="21"/>
                <w:highlight w:val="none"/>
              </w:rPr>
              <w:t>（盖章）</w:t>
            </w:r>
          </w:p>
        </w:tc>
      </w:tr>
      <w:tr w14:paraId="586BB5F9">
        <w:tblPrEx>
          <w:tblCellMar>
            <w:top w:w="0" w:type="dxa"/>
            <w:left w:w="108" w:type="dxa"/>
            <w:bottom w:w="0" w:type="dxa"/>
            <w:right w:w="108" w:type="dxa"/>
          </w:tblCellMar>
        </w:tblPrEx>
        <w:trPr>
          <w:trHeight w:val="567" w:hRule="exact"/>
          <w:jc w:val="center"/>
        </w:trPr>
        <w:tc>
          <w:tcPr>
            <w:tcW w:w="4201" w:type="dxa"/>
            <w:vAlign w:val="center"/>
          </w:tcPr>
          <w:p w14:paraId="78620512">
            <w:pPr>
              <w:adjustRightInd w:val="0"/>
              <w:snapToGrid w:val="0"/>
              <w:spacing w:line="372" w:lineRule="auto"/>
              <w:rPr>
                <w:rFonts w:cs="仿宋_GB2312"/>
                <w:bCs/>
                <w:szCs w:val="21"/>
                <w:highlight w:val="none"/>
              </w:rPr>
            </w:pPr>
            <w:r>
              <w:rPr>
                <w:rFonts w:hint="eastAsia" w:cs="仿宋_GB2312"/>
                <w:bCs/>
                <w:szCs w:val="21"/>
                <w:highlight w:val="none"/>
              </w:rPr>
              <w:t xml:space="preserve">地址： </w:t>
            </w:r>
          </w:p>
        </w:tc>
        <w:tc>
          <w:tcPr>
            <w:tcW w:w="4202" w:type="dxa"/>
            <w:vAlign w:val="center"/>
          </w:tcPr>
          <w:p w14:paraId="68424D3F">
            <w:pPr>
              <w:adjustRightInd w:val="0"/>
              <w:snapToGrid w:val="0"/>
              <w:spacing w:line="372" w:lineRule="auto"/>
              <w:rPr>
                <w:rFonts w:cs="仿宋_GB2312"/>
                <w:bCs/>
                <w:szCs w:val="21"/>
                <w:highlight w:val="none"/>
              </w:rPr>
            </w:pPr>
            <w:r>
              <w:rPr>
                <w:rFonts w:hint="eastAsia" w:cs="仿宋_GB2312"/>
                <w:bCs/>
                <w:szCs w:val="21"/>
                <w:highlight w:val="none"/>
              </w:rPr>
              <w:t>地址：</w:t>
            </w:r>
          </w:p>
        </w:tc>
      </w:tr>
      <w:tr w14:paraId="01E32B13">
        <w:tblPrEx>
          <w:tblCellMar>
            <w:top w:w="0" w:type="dxa"/>
            <w:left w:w="108" w:type="dxa"/>
            <w:bottom w:w="0" w:type="dxa"/>
            <w:right w:w="108" w:type="dxa"/>
          </w:tblCellMar>
        </w:tblPrEx>
        <w:trPr>
          <w:trHeight w:val="567" w:hRule="exact"/>
          <w:jc w:val="center"/>
        </w:trPr>
        <w:tc>
          <w:tcPr>
            <w:tcW w:w="4201" w:type="dxa"/>
            <w:vAlign w:val="center"/>
          </w:tcPr>
          <w:p w14:paraId="68F67B2A">
            <w:pPr>
              <w:adjustRightInd w:val="0"/>
              <w:snapToGrid w:val="0"/>
              <w:spacing w:line="372" w:lineRule="auto"/>
              <w:rPr>
                <w:rFonts w:cs="仿宋_GB2312"/>
                <w:bCs/>
                <w:szCs w:val="21"/>
                <w:highlight w:val="none"/>
              </w:rPr>
            </w:pPr>
            <w:r>
              <w:rPr>
                <w:rFonts w:hint="eastAsia" w:cs="仿宋_GB2312"/>
                <w:bCs/>
                <w:szCs w:val="21"/>
                <w:highlight w:val="none"/>
              </w:rPr>
              <w:t>邮编：</w:t>
            </w:r>
          </w:p>
        </w:tc>
        <w:tc>
          <w:tcPr>
            <w:tcW w:w="4202" w:type="dxa"/>
            <w:vAlign w:val="center"/>
          </w:tcPr>
          <w:p w14:paraId="3DD4F9E1">
            <w:pPr>
              <w:adjustRightInd w:val="0"/>
              <w:snapToGrid w:val="0"/>
              <w:spacing w:line="372" w:lineRule="auto"/>
              <w:rPr>
                <w:rFonts w:cs="仿宋_GB2312"/>
                <w:bCs/>
                <w:szCs w:val="21"/>
                <w:highlight w:val="none"/>
              </w:rPr>
            </w:pPr>
            <w:r>
              <w:rPr>
                <w:rFonts w:hint="eastAsia" w:cs="仿宋_GB2312"/>
                <w:bCs/>
                <w:szCs w:val="21"/>
                <w:highlight w:val="none"/>
              </w:rPr>
              <w:t>邮编：</w:t>
            </w:r>
          </w:p>
        </w:tc>
      </w:tr>
      <w:tr w14:paraId="0EFB29AC">
        <w:tblPrEx>
          <w:tblCellMar>
            <w:top w:w="0" w:type="dxa"/>
            <w:left w:w="108" w:type="dxa"/>
            <w:bottom w:w="0" w:type="dxa"/>
            <w:right w:w="108" w:type="dxa"/>
          </w:tblCellMar>
        </w:tblPrEx>
        <w:trPr>
          <w:trHeight w:val="567" w:hRule="exact"/>
          <w:jc w:val="center"/>
        </w:trPr>
        <w:tc>
          <w:tcPr>
            <w:tcW w:w="4201" w:type="dxa"/>
            <w:vAlign w:val="center"/>
          </w:tcPr>
          <w:p w14:paraId="67E11C65">
            <w:pPr>
              <w:adjustRightInd w:val="0"/>
              <w:snapToGrid w:val="0"/>
              <w:spacing w:line="372" w:lineRule="auto"/>
              <w:rPr>
                <w:rFonts w:cs="仿宋_GB2312"/>
                <w:bCs/>
                <w:szCs w:val="21"/>
                <w:highlight w:val="none"/>
              </w:rPr>
            </w:pPr>
            <w:r>
              <w:rPr>
                <w:rFonts w:hint="eastAsia" w:cs="仿宋_GB2312"/>
                <w:bCs/>
                <w:szCs w:val="21"/>
                <w:highlight w:val="none"/>
              </w:rPr>
              <w:t xml:space="preserve">法定代表人： </w:t>
            </w:r>
          </w:p>
        </w:tc>
        <w:tc>
          <w:tcPr>
            <w:tcW w:w="4202" w:type="dxa"/>
            <w:vAlign w:val="center"/>
          </w:tcPr>
          <w:p w14:paraId="367A91B9">
            <w:pPr>
              <w:adjustRightInd w:val="0"/>
              <w:snapToGrid w:val="0"/>
              <w:spacing w:line="372" w:lineRule="auto"/>
              <w:rPr>
                <w:rFonts w:cs="仿宋_GB2312"/>
                <w:bCs/>
                <w:szCs w:val="21"/>
                <w:highlight w:val="none"/>
              </w:rPr>
            </w:pPr>
            <w:r>
              <w:rPr>
                <w:rFonts w:hint="eastAsia" w:cs="仿宋_GB2312"/>
                <w:bCs/>
                <w:szCs w:val="21"/>
                <w:highlight w:val="none"/>
              </w:rPr>
              <w:t>法定代表人（或负责人）：</w:t>
            </w:r>
          </w:p>
        </w:tc>
      </w:tr>
      <w:tr w14:paraId="17DF565A">
        <w:tblPrEx>
          <w:tblCellMar>
            <w:top w:w="0" w:type="dxa"/>
            <w:left w:w="108" w:type="dxa"/>
            <w:bottom w:w="0" w:type="dxa"/>
            <w:right w:w="108" w:type="dxa"/>
          </w:tblCellMar>
        </w:tblPrEx>
        <w:trPr>
          <w:trHeight w:val="567" w:hRule="exact"/>
          <w:jc w:val="center"/>
        </w:trPr>
        <w:tc>
          <w:tcPr>
            <w:tcW w:w="4201" w:type="dxa"/>
            <w:vAlign w:val="center"/>
          </w:tcPr>
          <w:p w14:paraId="1AE5FEF7">
            <w:pPr>
              <w:adjustRightInd w:val="0"/>
              <w:snapToGrid w:val="0"/>
              <w:spacing w:line="372" w:lineRule="auto"/>
              <w:rPr>
                <w:rFonts w:cs="仿宋_GB2312"/>
                <w:bCs/>
                <w:szCs w:val="21"/>
                <w:highlight w:val="none"/>
              </w:rPr>
            </w:pPr>
            <w:r>
              <w:rPr>
                <w:rFonts w:hint="eastAsia" w:cs="仿宋_GB2312"/>
                <w:bCs/>
                <w:szCs w:val="21"/>
                <w:highlight w:val="none"/>
              </w:rPr>
              <w:t>项目负责人：</w:t>
            </w:r>
          </w:p>
        </w:tc>
        <w:tc>
          <w:tcPr>
            <w:tcW w:w="4202" w:type="dxa"/>
            <w:vAlign w:val="center"/>
          </w:tcPr>
          <w:p w14:paraId="24289569">
            <w:pPr>
              <w:adjustRightInd w:val="0"/>
              <w:snapToGrid w:val="0"/>
              <w:spacing w:line="372" w:lineRule="auto"/>
              <w:rPr>
                <w:rFonts w:cs="仿宋_GB2312"/>
                <w:bCs/>
                <w:szCs w:val="21"/>
                <w:highlight w:val="none"/>
              </w:rPr>
            </w:pPr>
            <w:r>
              <w:rPr>
                <w:rFonts w:hint="eastAsia" w:cs="仿宋_GB2312"/>
                <w:bCs/>
                <w:szCs w:val="21"/>
                <w:highlight w:val="none"/>
              </w:rPr>
              <w:t>项目负责人：</w:t>
            </w:r>
          </w:p>
        </w:tc>
      </w:tr>
      <w:tr w14:paraId="0DF8BA86">
        <w:tblPrEx>
          <w:tblCellMar>
            <w:top w:w="0" w:type="dxa"/>
            <w:left w:w="108" w:type="dxa"/>
            <w:bottom w:w="0" w:type="dxa"/>
            <w:right w:w="108" w:type="dxa"/>
          </w:tblCellMar>
        </w:tblPrEx>
        <w:trPr>
          <w:trHeight w:val="567" w:hRule="exact"/>
          <w:jc w:val="center"/>
        </w:trPr>
        <w:tc>
          <w:tcPr>
            <w:tcW w:w="4201" w:type="dxa"/>
            <w:vAlign w:val="center"/>
          </w:tcPr>
          <w:p w14:paraId="15D3C259">
            <w:pPr>
              <w:adjustRightInd w:val="0"/>
              <w:snapToGrid w:val="0"/>
              <w:spacing w:line="372" w:lineRule="auto"/>
              <w:rPr>
                <w:rFonts w:cs="仿宋_GB2312"/>
                <w:bCs/>
                <w:szCs w:val="21"/>
                <w:highlight w:val="none"/>
              </w:rPr>
            </w:pPr>
            <w:r>
              <w:rPr>
                <w:rFonts w:hint="eastAsia" w:cs="仿宋_GB2312"/>
                <w:bCs/>
                <w:szCs w:val="21"/>
                <w:highlight w:val="none"/>
              </w:rPr>
              <w:t>电话：</w:t>
            </w:r>
          </w:p>
        </w:tc>
        <w:tc>
          <w:tcPr>
            <w:tcW w:w="4202" w:type="dxa"/>
            <w:vAlign w:val="center"/>
          </w:tcPr>
          <w:p w14:paraId="4CCCB7BF">
            <w:pPr>
              <w:adjustRightInd w:val="0"/>
              <w:snapToGrid w:val="0"/>
              <w:spacing w:line="372" w:lineRule="auto"/>
              <w:rPr>
                <w:rFonts w:cs="仿宋_GB2312"/>
                <w:bCs/>
                <w:szCs w:val="21"/>
                <w:highlight w:val="none"/>
              </w:rPr>
            </w:pPr>
            <w:r>
              <w:rPr>
                <w:rFonts w:hint="eastAsia" w:cs="仿宋_GB2312"/>
                <w:bCs/>
                <w:szCs w:val="21"/>
                <w:highlight w:val="none"/>
              </w:rPr>
              <w:t>电话：</w:t>
            </w:r>
          </w:p>
        </w:tc>
      </w:tr>
      <w:tr w14:paraId="5F940908">
        <w:tblPrEx>
          <w:tblCellMar>
            <w:top w:w="0" w:type="dxa"/>
            <w:left w:w="108" w:type="dxa"/>
            <w:bottom w:w="0" w:type="dxa"/>
            <w:right w:w="108" w:type="dxa"/>
          </w:tblCellMar>
        </w:tblPrEx>
        <w:trPr>
          <w:trHeight w:val="567" w:hRule="exact"/>
          <w:jc w:val="center"/>
        </w:trPr>
        <w:tc>
          <w:tcPr>
            <w:tcW w:w="4201" w:type="dxa"/>
            <w:vAlign w:val="center"/>
          </w:tcPr>
          <w:p w14:paraId="2EE64E2A">
            <w:pPr>
              <w:adjustRightInd w:val="0"/>
              <w:snapToGrid w:val="0"/>
              <w:spacing w:line="372" w:lineRule="auto"/>
              <w:rPr>
                <w:rFonts w:cs="仿宋_GB2312"/>
                <w:bCs/>
                <w:szCs w:val="21"/>
                <w:highlight w:val="none"/>
              </w:rPr>
            </w:pPr>
            <w:r>
              <w:rPr>
                <w:rFonts w:hint="eastAsia" w:cs="仿宋_GB2312"/>
                <w:bCs/>
                <w:szCs w:val="21"/>
                <w:highlight w:val="none"/>
              </w:rPr>
              <w:t>传真：</w:t>
            </w:r>
          </w:p>
        </w:tc>
        <w:tc>
          <w:tcPr>
            <w:tcW w:w="4202" w:type="dxa"/>
            <w:vAlign w:val="center"/>
          </w:tcPr>
          <w:p w14:paraId="5E4979F5">
            <w:pPr>
              <w:adjustRightInd w:val="0"/>
              <w:snapToGrid w:val="0"/>
              <w:spacing w:line="372" w:lineRule="auto"/>
              <w:rPr>
                <w:rFonts w:cs="仿宋_GB2312"/>
                <w:bCs/>
                <w:szCs w:val="21"/>
                <w:highlight w:val="none"/>
              </w:rPr>
            </w:pPr>
            <w:r>
              <w:rPr>
                <w:rFonts w:hint="eastAsia" w:cs="仿宋_GB2312"/>
                <w:bCs/>
                <w:szCs w:val="21"/>
                <w:highlight w:val="none"/>
              </w:rPr>
              <w:t>传真：</w:t>
            </w:r>
          </w:p>
        </w:tc>
      </w:tr>
      <w:tr w14:paraId="522A28C1">
        <w:tblPrEx>
          <w:tblCellMar>
            <w:top w:w="0" w:type="dxa"/>
            <w:left w:w="108" w:type="dxa"/>
            <w:bottom w:w="0" w:type="dxa"/>
            <w:right w:w="108" w:type="dxa"/>
          </w:tblCellMar>
        </w:tblPrEx>
        <w:trPr>
          <w:trHeight w:val="567" w:hRule="exact"/>
          <w:jc w:val="center"/>
        </w:trPr>
        <w:tc>
          <w:tcPr>
            <w:tcW w:w="4201" w:type="dxa"/>
            <w:vAlign w:val="center"/>
          </w:tcPr>
          <w:p w14:paraId="240F0664">
            <w:pPr>
              <w:adjustRightInd w:val="0"/>
              <w:snapToGrid w:val="0"/>
              <w:spacing w:line="372" w:lineRule="auto"/>
              <w:rPr>
                <w:rFonts w:cs="仿宋_GB2312"/>
                <w:bCs/>
                <w:szCs w:val="21"/>
                <w:highlight w:val="none"/>
              </w:rPr>
            </w:pPr>
            <w:r>
              <w:rPr>
                <w:rFonts w:hint="eastAsia" w:cs="仿宋_GB2312"/>
                <w:bCs/>
                <w:szCs w:val="21"/>
                <w:highlight w:val="none"/>
              </w:rPr>
              <w:t>开户银行：</w:t>
            </w:r>
          </w:p>
        </w:tc>
        <w:tc>
          <w:tcPr>
            <w:tcW w:w="4202" w:type="dxa"/>
            <w:vAlign w:val="center"/>
          </w:tcPr>
          <w:p w14:paraId="39B4FF43">
            <w:pPr>
              <w:adjustRightInd w:val="0"/>
              <w:snapToGrid w:val="0"/>
              <w:spacing w:line="372" w:lineRule="auto"/>
              <w:rPr>
                <w:rFonts w:cs="仿宋_GB2312"/>
                <w:bCs/>
                <w:szCs w:val="21"/>
                <w:highlight w:val="none"/>
              </w:rPr>
            </w:pPr>
            <w:r>
              <w:rPr>
                <w:rFonts w:hint="eastAsia" w:cs="仿宋_GB2312"/>
                <w:bCs/>
                <w:szCs w:val="21"/>
                <w:highlight w:val="none"/>
              </w:rPr>
              <w:t>开户银行：</w:t>
            </w:r>
          </w:p>
        </w:tc>
      </w:tr>
      <w:tr w14:paraId="46B1C2B3">
        <w:tblPrEx>
          <w:tblCellMar>
            <w:top w:w="0" w:type="dxa"/>
            <w:left w:w="108" w:type="dxa"/>
            <w:bottom w:w="0" w:type="dxa"/>
            <w:right w:w="108" w:type="dxa"/>
          </w:tblCellMar>
        </w:tblPrEx>
        <w:trPr>
          <w:trHeight w:val="567" w:hRule="exact"/>
          <w:jc w:val="center"/>
        </w:trPr>
        <w:tc>
          <w:tcPr>
            <w:tcW w:w="4201" w:type="dxa"/>
            <w:vAlign w:val="center"/>
          </w:tcPr>
          <w:p w14:paraId="3AD6F828">
            <w:pPr>
              <w:adjustRightInd w:val="0"/>
              <w:snapToGrid w:val="0"/>
              <w:spacing w:line="372" w:lineRule="auto"/>
              <w:rPr>
                <w:rFonts w:cs="仿宋_GB2312"/>
                <w:bCs/>
                <w:szCs w:val="21"/>
                <w:highlight w:val="none"/>
              </w:rPr>
            </w:pPr>
            <w:r>
              <w:rPr>
                <w:rFonts w:hint="eastAsia" w:cs="仿宋_GB2312"/>
                <w:bCs/>
                <w:szCs w:val="21"/>
                <w:highlight w:val="none"/>
              </w:rPr>
              <w:t>日期：</w:t>
            </w:r>
          </w:p>
        </w:tc>
        <w:tc>
          <w:tcPr>
            <w:tcW w:w="4202" w:type="dxa"/>
            <w:vAlign w:val="center"/>
          </w:tcPr>
          <w:p w14:paraId="559CAE35">
            <w:pPr>
              <w:adjustRightInd w:val="0"/>
              <w:snapToGrid w:val="0"/>
              <w:spacing w:line="372" w:lineRule="auto"/>
              <w:rPr>
                <w:rFonts w:cs="仿宋_GB2312"/>
                <w:bCs/>
                <w:szCs w:val="21"/>
                <w:highlight w:val="none"/>
              </w:rPr>
            </w:pPr>
            <w:r>
              <w:rPr>
                <w:rFonts w:hint="eastAsia" w:cs="仿宋_GB2312"/>
                <w:bCs/>
                <w:szCs w:val="21"/>
                <w:highlight w:val="none"/>
              </w:rPr>
              <w:t>日期：</w:t>
            </w:r>
          </w:p>
        </w:tc>
      </w:tr>
    </w:tbl>
    <w:p w14:paraId="77A991B5">
      <w:pPr>
        <w:adjustRightInd w:val="0"/>
        <w:snapToGrid w:val="0"/>
        <w:spacing w:line="384" w:lineRule="auto"/>
        <w:rPr>
          <w:highlight w:val="none"/>
        </w:rPr>
      </w:pPr>
    </w:p>
    <w:p w14:paraId="3B27DA48">
      <w:pPr>
        <w:rPr>
          <w:highlight w:val="none"/>
        </w:rPr>
      </w:pPr>
    </w:p>
    <w:p w14:paraId="0C79E417">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highlight w:val="none"/>
          <w:lang w:val="en-US" w:eastAsia="zh-Hans"/>
        </w:rPr>
      </w:pPr>
    </w:p>
    <w:p w14:paraId="0777FA0B">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C2D16">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7841F5">
                          <w:pPr>
                            <w:pStyle w:val="3"/>
                          </w:pPr>
                          <w:r>
                            <w:fldChar w:fldCharType="begin"/>
                          </w:r>
                          <w:r>
                            <w:instrText xml:space="preserve"> PAGE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87841F5">
                    <w:pPr>
                      <w:pStyle w:val="3"/>
                    </w:pPr>
                    <w:r>
                      <w:fldChar w:fldCharType="begin"/>
                    </w:r>
                    <w:r>
                      <w:instrText xml:space="preserve"> PAGE  \* MERGEFORMAT </w:instrText>
                    </w:r>
                    <w:r>
                      <w:fldChar w:fldCharType="separate"/>
                    </w:r>
                    <w:r>
                      <w:t>13</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C913DB3">
                          <w:pPr>
                            <w:pStyle w:val="3"/>
                            <w:rPr>
                              <w:rStyle w:val="7"/>
                            </w:rPr>
                          </w:pPr>
                        </w:p>
                        <w:p w14:paraId="689766A6"/>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7C913DB3">
                    <w:pPr>
                      <w:pStyle w:val="3"/>
                      <w:rPr>
                        <w:rStyle w:val="7"/>
                      </w:rPr>
                    </w:pPr>
                  </w:p>
                  <w:p w14:paraId="689766A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B6E35">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C23BFD"/>
    <w:rsid w:val="0F0251E6"/>
    <w:rsid w:val="55C23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2026-04-10T01:55:00Z</dcterms:created>
  <dc:creator>Administrator</dc:creator>
  <cp:lastModifiedBy>Administrator</cp:lastModifiedBy>
  <dcterms:modified xsi:type="dcterms:W3CDTF">2026-04-10T01:55:32Z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3120CA35A93F4A7D845EF7C17DF886AB_11</vt:lpwstr>
  </property>
  <property fmtid="{D5CDD505-2E9C-101B-9397-08002B2CF9AE}" pid="4" name="KSOTemplateDocerSaveRecord">
    <vt:lpwstr>eyJoZGlkIjoiOGU3NjRlMjE0NmMwNzhlNDUxOGFiY2U2NWFlZDA2OTIiLCJ1c2VySWQiOiIzNDk5NjQzNjEifQ==</vt:lpwstr>
  </property>
</Properties>
</file>